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86" w:rsidRPr="00105286" w:rsidRDefault="00105286" w:rsidP="00105286">
      <w:pPr>
        <w:shd w:val="clear" w:color="auto" w:fill="FFFFFF"/>
        <w:spacing w:after="330" w:line="300" w:lineRule="atLeast"/>
        <w:outlineLvl w:val="0"/>
        <w:rPr>
          <w:rFonts w:asciiTheme="majorHAnsi" w:eastAsia="Times New Roman" w:hAnsiTheme="majorHAnsi" w:cs="Times New Roman"/>
          <w:b/>
          <w:bCs/>
          <w:caps/>
          <w:color w:val="202731"/>
          <w:kern w:val="36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aps/>
          <w:color w:val="202731"/>
          <w:kern w:val="36"/>
          <w:sz w:val="24"/>
          <w:szCs w:val="24"/>
        </w:rPr>
        <w:t>СЛОВАРЬ ЕГЭ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А</w:t>
      </w:r>
    </w:p>
    <w:p w:rsidR="00105286" w:rsidRPr="00105286" w:rsidRDefault="00105286" w:rsidP="001052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5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АПЕЛЛЯЦИЯ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Апелляция – процедура защиты интересов участника экзамена в случае выявления нарушений установленного порядка проведения экзамена и (или) несогласия с выставленными баллами, основанного на предположении о наличии технических или экспертных ошибок при оценивании работы экзаменуемого. Апелляция о нарушении установленного порядка проведения экзамена в ППЭ подается члену государстенной экзаменационной комиссии субъекта Российской Федарции в день проведения экзамена, не покидая ППЭ. Апелляция о несогласия с выставленными баллами подается обучающимися в образовательную организацию, которой они были допущены к государстенной итоговой аттестации по образовательным программам среднего общего образования, выпускниками прошлых лет - в места, в которых они были зарегистрированы на сдачу ЕГЭ. Подробнее о правилах подачи апелляций читайте в разделе </w:t>
      </w:r>
      <w:hyperlink r:id="rId6" w:history="1">
        <w:r w:rsidRPr="00105286">
          <w:rPr>
            <w:rFonts w:asciiTheme="majorHAnsi" w:eastAsia="Times New Roman" w:hAnsiTheme="majorHAnsi" w:cs="Times New Roman"/>
            <w:color w:val="0071BB"/>
            <w:sz w:val="24"/>
            <w:szCs w:val="24"/>
            <w:u w:val="single"/>
          </w:rPr>
          <w:t>АПЕЛЛЯЦИЯ</w:t>
        </w:r>
      </w:hyperlink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Б</w:t>
      </w:r>
    </w:p>
    <w:p w:rsidR="00105286" w:rsidRPr="00105286" w:rsidRDefault="00105286" w:rsidP="001052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7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БЛАНКИ ЕГЭ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Специальные, утвержденные Рособрнадзором, бланки для оформления ответов на задания ЕГЭ. Существует 4 вида бланков ЕГЭ: 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  <w:u w:val="single"/>
        </w:rPr>
        <w:t>бланк регистрации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, 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  <w:u w:val="single"/>
        </w:rPr>
        <w:t>бланк ответов №1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 для заданий с кратким ответом, 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  <w:u w:val="single"/>
        </w:rPr>
        <w:t>бланк ответов №2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 для заданий с развернутым ответом, 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  <w:u w:val="single"/>
        </w:rPr>
        <w:t>дополнительный бланк ответов №2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. В бланк регистрации участник ЕГЭ вписывает свои личные данные. Ответы на экзаменационные задания вписываются в бланки ответов №1 и №2 и, если понадобится, в дополнительный бланк ответов №2 в строгом соответствии с образцом, правилами заполнения и инструкциями в 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  <w:u w:val="single"/>
        </w:rPr>
        <w:t>КИМ.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Г</w:t>
      </w:r>
    </w:p>
    <w:p w:rsidR="00105286" w:rsidRPr="00105286" w:rsidRDefault="00105286" w:rsidP="001052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8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ГВЭ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Государственный выпускной экзамен (ГВЭ) – форма государстенной итоговой аттестации по образовательным программам среднего общего образования с использованием текстов, тем, заданий, билетов -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образования, для обучающихся, освоивших в 2014 - 2018 годах образовательные программы среднего общего образования в образовательных организациях, расположенных на территориях Республики Крым и города федерального значения Севастополя.</w:t>
      </w:r>
    </w:p>
    <w:p w:rsidR="00105286" w:rsidRPr="00105286" w:rsidRDefault="00105286" w:rsidP="001052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9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ГИА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 xml:space="preserve">Государственная итоговая аттестация (ГИА) - форма оценки степени и уровня освоения обучающимися 11-х (12-х) основных образовательных программ соответствующим требованиям федерального государственного образовательного стандарта. ГИА проводится в форме единого государственного экзамена (ЕГЭ), а также в форме государственного выпускного экзамена (ГВЭ). ГИА также проводится в форме, устанавливаемой органами исполнительной власти субъектов Российской 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Федерации, осуществляющими государственное управление в сфере образования (для обучающихся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ГИА).</w:t>
      </w:r>
    </w:p>
    <w:p w:rsidR="00105286" w:rsidRPr="00105286" w:rsidRDefault="00105286" w:rsidP="001052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0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ГЭК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Государственная экзаменационная комиссия субъекта Российской Федарции (ГЭК) – комиссия, организующая, координирующая и контролирующая работу по подготовке и проведению ГИА на территории субъекта Российской Федерации. Председатель ГЭК рассматривает результаты проведения ГИА и принимает решения об утверждении, изменении и (или) аннулировании результатов ГИА по каждому учебному предмету. ГЭК создаются в каждом субъекте Российской Федерации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 в сфере образования, органов местного самоуправления, образовательных организаций, научных, общественных и других организаций и объединений. Председатель и заместитель председателя ГЭК для проведения ГИА утверждаются Рособрнадзором.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Д</w:t>
      </w:r>
    </w:p>
    <w:p w:rsidR="00105286" w:rsidRPr="00105286" w:rsidRDefault="00105286" w:rsidP="001052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1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ДЕМОВЕРСИИ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Демоверсии – демонстрационные варианты контрольных измерительных материалов ГИА, которые размещаются в открытом доступе и предназначены для тренировки участников экзаменов. Демоверсии дают возможность составить представление о структуре и содержании экзаменационных заданий, их количестве, форме, уровне сложности.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Е</w:t>
      </w:r>
    </w:p>
    <w:p w:rsidR="00105286" w:rsidRPr="00105286" w:rsidRDefault="00105286" w:rsidP="001052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2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ЕГЭ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Единый государственный экзамен (ЕГЭ) - форма государственной итоговой аттестации (ГИА) по образовательным программам среднего общего образования. Служит одновременно выпускным экзаменом в школе и вступительным экзаменом в вуз. ЕГЭ проводится по единым правилам, с использованием контрольных измерительных материалов стандартизированной формы и единой методики оценивания выполненных работ. На сегодняшний день ЕГЭ проводится по 14 общеобразовательным предметам, два из которых (русский язык и математика) являются обязательными для получения аттестата об окончании российской школы.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И</w:t>
      </w:r>
    </w:p>
    <w:p w:rsidR="00105286" w:rsidRPr="00105286" w:rsidRDefault="00105286" w:rsidP="001052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3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ИК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Индивидуальный комплект участника ЕГЭ. Это запечатанный конверт формата А-4+, который выдается каждому участнику экзамена. Имеет средства защиты информации, в частности, два штрихкода с цифровыми номерами. В конверте находятся следующее: КИМ, бланк регистрации, бланк ответов №1, бланк ответов №2, а так же дополнительные материалы, если их наличие предусмотрено на данном экзамене. ИК выдается участнику ЕГЭ непосредственно перед началом экзамена. ИК и его содержимое запрещено к несанкционированному копированию.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К</w:t>
      </w:r>
    </w:p>
    <w:p w:rsidR="00105286" w:rsidRPr="00105286" w:rsidRDefault="00105286" w:rsidP="001052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4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КИМ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 xml:space="preserve">Контрольные измерительные материалы (КИМ) — экзаменационные материалы различных видов, которые выдаются участникам ГИА на экзамене. КИМ </w:t>
      </w: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разрабатываются в соответствии с требованиями ФГОС специалистами </w:t>
      </w:r>
      <w:hyperlink r:id="rId15" w:tgtFrame="_blank" w:history="1">
        <w:r w:rsidRPr="00105286">
          <w:rPr>
            <w:rFonts w:asciiTheme="majorHAnsi" w:eastAsia="Times New Roman" w:hAnsiTheme="majorHAnsi" w:cs="Times New Roman"/>
            <w:color w:val="0071BB"/>
            <w:sz w:val="24"/>
            <w:szCs w:val="24"/>
            <w:u w:val="single"/>
          </w:rPr>
          <w:t>ФГБНУ «ФИПИ»</w:t>
        </w:r>
      </w:hyperlink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.</w:t>
      </w:r>
    </w:p>
    <w:p w:rsidR="00105286" w:rsidRPr="00105286" w:rsidRDefault="00105286" w:rsidP="001052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6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КОНФЛИКТНАЯ КОМИССИЯ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Конфликтные комиссии субъектов Российской Федарции – комиссии, которые принимают и рассматривают апелляции обучающихся, выпускников прошлых лет по вопросам нарушения установленного порядка проведения ГИА, а также о несогласии с выставленными баллами; принимают по результатам рассмотрения апелляции решение об удовлетворении или отклонении апелляций обучающихся, выпускников прошлых лет; информируют обучающихся, выпускников прошлых лет, подавших апелляции, и (или) их родителей (законных представителей), а также ГЭК о принятых решениях.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О</w:t>
      </w:r>
    </w:p>
    <w:p w:rsidR="00105286" w:rsidRPr="00105286" w:rsidRDefault="00105286" w:rsidP="00105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7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ОБЩЕСТВЕННЫЕ НАБЛЮДАТЕЛИ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Общественные наблюдатели – аккредитованные и прошедшие соответствующее обучение лица, привлекаемые для усиления контроля за ходом проведения ГИА. Наблюдатели могут присутствовать в ППЭ во время проведения ЕГЭ, где контролируют соблюдение экзаменационных процедур, а также в региональных центрах обработки информации, при проверке экзаменационных работ и при рассмотрении апелляций.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регулируется Приказом Министерства образования и науки Российской Федерации от 6 апреля 2017 г. № 312 «О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 28 июня 2013 г. № 491»</w:t>
      </w:r>
    </w:p>
    <w:p w:rsidR="00105286" w:rsidRPr="00105286" w:rsidRDefault="00105286" w:rsidP="00105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8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ОВЗ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Обучающийся с ограниченными возможностями здоровья (обучающийся с 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Для участников ГИА с ОВЗ экзамены организуются с учетом особенностей их психофизического развития, индивидуальных возможностей и состояния здоровья.</w:t>
      </w:r>
    </w:p>
    <w:p w:rsidR="00105286" w:rsidRPr="00105286" w:rsidRDefault="00105286" w:rsidP="00105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19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ОИВ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105286" w:rsidRPr="00105286" w:rsidRDefault="00105286" w:rsidP="00105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0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ОРГАНИЗАТОРЫ ЕГЭ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Организаторы ЕГЭ – лица, привлекаемые к организации проведения ЕГЭ в ППЭ. В качестве организаторов привлекаются лица, прошедшие соответствующую подготовку и удовлетворяющие требованиям, предъявляемым к работникам ППЭ. При проведении ЕГЭ по учебному предмету в состав организаторов не входят специалисты по этому учебному предмету. Не допускается привлекать в качестве организаторов ППЭ 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организациях, осуществляющих образовательную деятельность за пределами территории Российской Федерации, загранучреждениях, а также в учреждениях уголовно-исполнительной системы).</w:t>
      </w:r>
    </w:p>
    <w:p w:rsidR="00105286" w:rsidRPr="00105286" w:rsidRDefault="00105286" w:rsidP="00105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1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ОНЛАЙН-НАБЛЮДАТЕЛИ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lastRenderedPageBreak/>
        <w:t>Онлайн-наблюдатели – общественные наблюдатели, осуществляющие контроль за ходом проведения ЕГЭ в ППЭ в режиме онлайн-видеотрансляции. Онлайн-наблюдатели фиксируют выявленные нарушения, о которых оперативно сообщают в Рособрнадзор для принятия соответствующих мер.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П</w:t>
      </w:r>
    </w:p>
    <w:p w:rsidR="00105286" w:rsidRPr="00105286" w:rsidRDefault="00105286" w:rsidP="001052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2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ППЭ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Пункт проведения экзамена – здание (сооружение), которое используется для проведения ЕГЭ. Территорией ППЭ является площадь внутри здания (сооружения) либо части здания, отведенная для проведения ЕГЭ. Территория ППЭ включает в себя вход, обозначенный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Количество и места расположения ППЭ определяется исходя из общей численности участников ЕГЭ, территориальной доступности и вместимости аудиторного фонда.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(время в пути, транспортная доступность и др.).</w:t>
      </w:r>
    </w:p>
    <w:p w:rsidR="00105286" w:rsidRPr="00105286" w:rsidRDefault="00105286" w:rsidP="001052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3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ПРЕДМЕТНЫЕ КОМИССИИ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Предметные комиссии (ПК) – комиссии, создаваемые в каждом субъекте Российской Федерации по отдельным учебным предметам по которым проводится ЕГЭ. В рамках осуществления проверки экзаменационных работ участников ЕГЭ предметные комиссии принимают к рассмотрению экзаменационные работы (ответы на задания с развернутым ответом) и осуществляют проверку ответов участников ЕГЭ и их оценивание в соответствии с критериями оценивания по соответствующему учебному предмету, разработка которых организуется Рособрнадзором.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Р</w:t>
      </w:r>
    </w:p>
    <w:p w:rsidR="00105286" w:rsidRPr="00105286" w:rsidRDefault="00105286" w:rsidP="0010528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4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РЦОИ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РЦОИ – организации, осуществляющая организационное и технологическое обеспечение проведения ГИА на территории субъекта Российской Федерации, в том числе обеспечение деятельности по эксплуатации региональных информационных систем и взаимодействию с федеральной информационной системой, обработки экзаменационных работ обучающихся, выпускников прошлых лет.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С</w:t>
      </w:r>
    </w:p>
    <w:p w:rsidR="00105286" w:rsidRPr="00105286" w:rsidRDefault="00105286" w:rsidP="0010528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5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СПЕЦИФИКАЦИЯ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Документ, определяющий структуру и содержание КИМ по учебному предмету. Спецификация описывает назначение экзаменационной работы, устанавливает распределение заданий по содержанию, видам деятельности и уровню сложности, утверждает систему оценивания отдельных заданий и работы в целом, обозначает условия проведения и проверки результатов экзамена. На основе плана экзаменационной работы, содержащегося в спецификации, формируются КИМ.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Т</w:t>
      </w:r>
    </w:p>
    <w:p w:rsidR="00105286" w:rsidRPr="00105286" w:rsidRDefault="00105286" w:rsidP="0010528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6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ТЕСТОВЫЕ БАЛЛЫ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Результаты ЕГЭ, которые выставляются по стобалльной шкале в результате процедуры шкалирования, учитывающей все статистические материалы, полученные в рамках проведения ЕГЭ данного года.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У</w:t>
      </w:r>
    </w:p>
    <w:p w:rsidR="00105286" w:rsidRPr="00105286" w:rsidRDefault="00105286" w:rsidP="00105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7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УЧАСТНИКИ ЕГЭ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Обучающиеся, допущенные в установленном порядке к ГИА; выпускники прошлых лет и другие категории лиц, определенные Порядком, допущенные к сдаче ЕГЭ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Ф</w:t>
      </w:r>
    </w:p>
    <w:p w:rsidR="00105286" w:rsidRPr="00105286" w:rsidRDefault="00105286" w:rsidP="001052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8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ФИПИ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29" w:tgtFrame="_blank" w:history="1">
        <w:r w:rsidRPr="00105286">
          <w:rPr>
            <w:rFonts w:asciiTheme="majorHAnsi" w:eastAsia="Times New Roman" w:hAnsiTheme="majorHAnsi" w:cs="Times New Roman"/>
            <w:color w:val="0071BB"/>
            <w:sz w:val="24"/>
            <w:szCs w:val="24"/>
            <w:u w:val="single"/>
          </w:rPr>
          <w:t>Федеральный институт педагогических измерений</w:t>
        </w:r>
      </w:hyperlink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 - подведомственная организация Рособрнадзора, занимающаяся разработкой и апробацией контрольных измерительных материалов для государственной итоговой аттестации выпускников школ, научными исследованиями, связанными с измерениями в области образования и оценкой качества образования, профессиональной подготовкой научных и педагогических кадров в области педагогических измерений и оценки качества образования.</w:t>
      </w:r>
    </w:p>
    <w:p w:rsidR="00105286" w:rsidRPr="00105286" w:rsidRDefault="00105286" w:rsidP="0010528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b/>
          <w:bCs/>
          <w:color w:val="1F262D"/>
          <w:sz w:val="24"/>
          <w:szCs w:val="24"/>
        </w:rPr>
        <w:t>Ш</w:t>
      </w:r>
    </w:p>
    <w:p w:rsidR="00105286" w:rsidRPr="00105286" w:rsidRDefault="00105286" w:rsidP="0010528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hyperlink r:id="rId30" w:history="1">
        <w:r w:rsidRPr="00105286">
          <w:rPr>
            <w:rFonts w:asciiTheme="majorHAnsi" w:eastAsia="Times New Roman" w:hAnsiTheme="majorHAnsi" w:cs="Times New Roman"/>
            <w:b/>
            <w:bCs/>
            <w:caps/>
            <w:color w:val="FFFFFF"/>
            <w:sz w:val="24"/>
            <w:szCs w:val="24"/>
          </w:rPr>
          <w:t>ШКАЛИРОВАНИЕ</w:t>
        </w:r>
      </w:hyperlink>
    </w:p>
    <w:p w:rsidR="00105286" w:rsidRPr="00105286" w:rsidRDefault="00105286" w:rsidP="00105286">
      <w:pPr>
        <w:shd w:val="clear" w:color="auto" w:fill="F2F2F2"/>
        <w:spacing w:after="0" w:line="240" w:lineRule="auto"/>
        <w:rPr>
          <w:rFonts w:asciiTheme="majorHAnsi" w:eastAsia="Times New Roman" w:hAnsiTheme="majorHAnsi" w:cs="Times New Roman"/>
          <w:color w:val="1F262D"/>
          <w:sz w:val="24"/>
          <w:szCs w:val="24"/>
        </w:rPr>
      </w:pPr>
      <w:r w:rsidRPr="00105286">
        <w:rPr>
          <w:rFonts w:asciiTheme="majorHAnsi" w:eastAsia="Times New Roman" w:hAnsiTheme="majorHAnsi" w:cs="Times New Roman"/>
          <w:color w:val="1F262D"/>
          <w:sz w:val="24"/>
          <w:szCs w:val="24"/>
        </w:rPr>
        <w:t>Процесс формирования тестовых шкал по правилам начисления тестовых баллов по результатам тестирования на основе статистических данных.</w:t>
      </w:r>
    </w:p>
    <w:p w:rsidR="00A2789A" w:rsidRPr="00105286" w:rsidRDefault="00A2789A">
      <w:pPr>
        <w:rPr>
          <w:rFonts w:asciiTheme="majorHAnsi" w:hAnsiTheme="majorHAnsi"/>
          <w:sz w:val="24"/>
          <w:szCs w:val="24"/>
        </w:rPr>
      </w:pPr>
    </w:p>
    <w:sectPr w:rsidR="00A2789A" w:rsidRPr="0010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579"/>
    <w:multiLevelType w:val="multilevel"/>
    <w:tmpl w:val="013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11F40"/>
    <w:multiLevelType w:val="multilevel"/>
    <w:tmpl w:val="052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82C16"/>
    <w:multiLevelType w:val="multilevel"/>
    <w:tmpl w:val="F22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529B4"/>
    <w:multiLevelType w:val="multilevel"/>
    <w:tmpl w:val="2E2C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92DBC"/>
    <w:multiLevelType w:val="multilevel"/>
    <w:tmpl w:val="77E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22C5E"/>
    <w:multiLevelType w:val="multilevel"/>
    <w:tmpl w:val="8F04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D6D8A"/>
    <w:multiLevelType w:val="multilevel"/>
    <w:tmpl w:val="0FE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46FB0"/>
    <w:multiLevelType w:val="multilevel"/>
    <w:tmpl w:val="DE6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10B4D"/>
    <w:multiLevelType w:val="multilevel"/>
    <w:tmpl w:val="5D0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A7C05"/>
    <w:multiLevelType w:val="multilevel"/>
    <w:tmpl w:val="59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636FA"/>
    <w:multiLevelType w:val="multilevel"/>
    <w:tmpl w:val="B0A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0012A"/>
    <w:multiLevelType w:val="multilevel"/>
    <w:tmpl w:val="BE08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43C69"/>
    <w:multiLevelType w:val="multilevel"/>
    <w:tmpl w:val="A74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B2426"/>
    <w:multiLevelType w:val="multilevel"/>
    <w:tmpl w:val="1E4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66EDC"/>
    <w:multiLevelType w:val="multilevel"/>
    <w:tmpl w:val="806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5286"/>
    <w:rsid w:val="00105286"/>
    <w:rsid w:val="00A2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2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052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6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6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0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8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//" TargetMode="External"/><Relationship Id="rId7" Type="http://schemas.openxmlformats.org/officeDocument/2006/relationships/hyperlink" Target="javascript:/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lasses-11/appel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hyperlink" Target="javascript://" TargetMode="External"/><Relationship Id="rId32" Type="http://schemas.openxmlformats.org/officeDocument/2006/relationships/theme" Target="theme/theme1.xml"/><Relationship Id="rId5" Type="http://schemas.openxmlformats.org/officeDocument/2006/relationships/hyperlink" Target="javascript://" TargetMode="Externa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1948</Words>
  <Characters>11110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2020-06-05T12:37:00Z</dcterms:created>
  <dcterms:modified xsi:type="dcterms:W3CDTF">2020-06-05T12:39:00Z</dcterms:modified>
</cp:coreProperties>
</file>